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Pr="00081BEC" w:rsidRDefault="0090554A" w:rsidP="0090554A">
      <w:pPr>
        <w:spacing w:line="360" w:lineRule="auto"/>
      </w:pPr>
    </w:p>
    <w:p w:rsidR="0090554A" w:rsidRPr="00081BEC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Pr="00081BEC" w:rsidRDefault="0090554A" w:rsidP="0090554A">
      <w:pPr>
        <w:spacing w:line="360" w:lineRule="auto"/>
        <w:rPr>
          <w:b/>
        </w:rPr>
      </w:pPr>
    </w:p>
    <w:p w:rsidR="006B6430" w:rsidRPr="006B6430" w:rsidRDefault="0090554A" w:rsidP="00156F95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 w:rsidR="006B643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90554A" w:rsidRPr="0090554A" w:rsidRDefault="006B6430" w:rsidP="00156F95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90554A" w:rsidRDefault="0090554A" w:rsidP="00156F95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 w:rsidR="006B6430">
        <w:rPr>
          <w:rFonts w:ascii="Times New Roman" w:hAnsi="Times New Roman" w:cs="Times New Roman"/>
          <w:b/>
          <w:bCs/>
          <w:sz w:val="52"/>
          <w:szCs w:val="52"/>
        </w:rPr>
        <w:t xml:space="preserve">   </w:t>
      </w:r>
      <w:r>
        <w:rPr>
          <w:rFonts w:ascii="Times New Roman" w:hAnsi="Times New Roman" w:cs="Times New Roman"/>
          <w:b/>
          <w:bCs/>
          <w:sz w:val="52"/>
          <w:szCs w:val="52"/>
        </w:rPr>
        <w:t>BIOLOGII</w:t>
      </w:r>
    </w:p>
    <w:p w:rsidR="006E05BA" w:rsidRDefault="006E05BA" w:rsidP="00156F95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6E05BA" w:rsidRDefault="006E05BA" w:rsidP="00156F95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6E05BA" w:rsidRPr="006E05BA" w:rsidRDefault="006E05BA" w:rsidP="00156F95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FE7434" w:rsidRDefault="00FE7434" w:rsidP="00156F95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90554A" w:rsidRDefault="0090554A" w:rsidP="0090554A">
      <w:pPr>
        <w:spacing w:line="360" w:lineRule="auto"/>
      </w:pPr>
    </w:p>
    <w:p w:rsidR="006B6430" w:rsidRDefault="006B6430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015812" w:rsidRPr="007C41EB" w:rsidRDefault="00015812">
      <w:pPr>
        <w:pStyle w:val="Akapitzlist"/>
        <w:numPr>
          <w:ilvl w:val="0"/>
          <w:numId w:val="3"/>
        </w:numPr>
        <w:spacing w:line="360" w:lineRule="auto"/>
        <w:rPr>
          <w:b/>
          <w:bCs/>
        </w:rPr>
      </w:pPr>
      <w:r w:rsidRPr="00015812">
        <w:rPr>
          <w:b/>
          <w:bCs/>
        </w:rPr>
        <w:lastRenderedPageBreak/>
        <w:t>Obszary aktywności ocenianie na lekcjach biologii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Rozumienie podstawowych pojęć biologicznych.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Posługiwanie się językiem biologicznym.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Posługiwanie się wiedzą biologiczną w praktyce.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Stosowanie wiadomości i umiejętności z biologii w rozwiązywaniu problemów z innych dziedzin.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Wykorzystywanie różnorodnych źródeł wiedzy.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Selekcjonowanie wiadomości.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Analizowanie wykresów, diagramów, tabel i rysunków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Prowadzenie obserwacji biologicznych.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Posługiwanie się przyrządami optycznymi.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Prowadzenie dokumentacji biologicznej.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Wkład pracy ucznia.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Udział w zajęciach pozalekcyjnych.</w:t>
      </w:r>
    </w:p>
    <w:p w:rsidR="00015812" w:rsidRPr="00015812" w:rsidRDefault="00015812">
      <w:pPr>
        <w:pStyle w:val="Akapitzlist"/>
        <w:numPr>
          <w:ilvl w:val="0"/>
          <w:numId w:val="4"/>
        </w:numPr>
        <w:spacing w:line="360" w:lineRule="auto"/>
      </w:pPr>
      <w:r w:rsidRPr="00015812">
        <w:t>Uczestnictwo w konkursach biologicznych.</w:t>
      </w:r>
    </w:p>
    <w:p w:rsidR="00015812" w:rsidRPr="00015812" w:rsidRDefault="00015812" w:rsidP="00015812">
      <w:pPr>
        <w:spacing w:line="360" w:lineRule="auto"/>
      </w:pPr>
    </w:p>
    <w:p w:rsidR="00015812" w:rsidRPr="007C41EB" w:rsidRDefault="00015812">
      <w:pPr>
        <w:pStyle w:val="Akapitzlist"/>
        <w:numPr>
          <w:ilvl w:val="0"/>
          <w:numId w:val="3"/>
        </w:numPr>
        <w:spacing w:line="360" w:lineRule="auto"/>
        <w:rPr>
          <w:b/>
          <w:bCs/>
        </w:rPr>
      </w:pPr>
      <w:r w:rsidRPr="00015812">
        <w:rPr>
          <w:b/>
          <w:bCs/>
        </w:rPr>
        <w:t>Narzędzia pomiaru osiągnięć uczniów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Prace klasowe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Kartkówki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Odpowiedzi ustne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Praca w grupach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Aktywność ucznia na zajęciach edukacyjnych</w:t>
      </w:r>
    </w:p>
    <w:p w:rsidR="00015812" w:rsidRPr="00015812" w:rsidRDefault="00015812" w:rsidP="00015812">
      <w:pPr>
        <w:pStyle w:val="Akapitzlist"/>
        <w:numPr>
          <w:ilvl w:val="0"/>
          <w:numId w:val="1"/>
        </w:numPr>
        <w:spacing w:line="360" w:lineRule="auto"/>
      </w:pPr>
      <w:r w:rsidRPr="00015812">
        <w:t>Praca dodatkowa</w:t>
      </w:r>
    </w:p>
    <w:p w:rsidR="00015812" w:rsidRPr="00015812" w:rsidRDefault="00015812" w:rsidP="00015812">
      <w:pPr>
        <w:spacing w:line="360" w:lineRule="auto"/>
      </w:pPr>
    </w:p>
    <w:p w:rsidR="00015812" w:rsidRPr="007C41EB" w:rsidRDefault="00015812">
      <w:pPr>
        <w:pStyle w:val="Akapitzlist"/>
        <w:numPr>
          <w:ilvl w:val="0"/>
          <w:numId w:val="3"/>
        </w:numPr>
        <w:spacing w:line="360" w:lineRule="auto"/>
        <w:rPr>
          <w:b/>
          <w:bCs/>
        </w:rPr>
      </w:pPr>
      <w:r w:rsidRPr="00015812">
        <w:rPr>
          <w:b/>
          <w:bCs/>
        </w:rPr>
        <w:t>Skale stosowane w ocenianiu</w:t>
      </w:r>
    </w:p>
    <w:p w:rsidR="00015812" w:rsidRPr="00015812" w:rsidRDefault="00015812" w:rsidP="00015812">
      <w:pPr>
        <w:pStyle w:val="Akapitzlist"/>
        <w:numPr>
          <w:ilvl w:val="0"/>
          <w:numId w:val="2"/>
        </w:numPr>
        <w:spacing w:line="360" w:lineRule="auto"/>
      </w:pPr>
      <w:r w:rsidRPr="00015812">
        <w:t>Skala liczbowa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niedostateczny (1)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dopuszczający (2)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dostateczny (3)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dobry (4)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bardzo dobry (5)</w:t>
      </w:r>
    </w:p>
    <w:p w:rsidR="00015812" w:rsidRPr="00015812" w:rsidRDefault="00015812">
      <w:pPr>
        <w:pStyle w:val="Akapitzlist"/>
        <w:numPr>
          <w:ilvl w:val="0"/>
          <w:numId w:val="5"/>
        </w:numPr>
        <w:spacing w:line="360" w:lineRule="auto"/>
      </w:pPr>
      <w:r w:rsidRPr="00015812">
        <w:t>celujący (6)</w:t>
      </w:r>
    </w:p>
    <w:p w:rsidR="00015812" w:rsidRPr="00015812" w:rsidRDefault="00015812" w:rsidP="00015812">
      <w:pPr>
        <w:pStyle w:val="Akapitzlist"/>
        <w:numPr>
          <w:ilvl w:val="0"/>
          <w:numId w:val="2"/>
        </w:numPr>
        <w:spacing w:line="360" w:lineRule="auto"/>
      </w:pPr>
      <w:r w:rsidRPr="00015812">
        <w:t>Znaki graficzne „+” oraz „-„</w:t>
      </w:r>
    </w:p>
    <w:p w:rsidR="00015812" w:rsidRPr="00015812" w:rsidRDefault="00015812" w:rsidP="00015812">
      <w:pPr>
        <w:spacing w:line="360" w:lineRule="auto"/>
      </w:pPr>
    </w:p>
    <w:p w:rsidR="00015812" w:rsidRPr="00015812" w:rsidRDefault="00015812">
      <w:pPr>
        <w:pStyle w:val="Akapitzlist"/>
        <w:numPr>
          <w:ilvl w:val="0"/>
          <w:numId w:val="3"/>
        </w:numPr>
        <w:spacing w:line="360" w:lineRule="auto"/>
        <w:rPr>
          <w:b/>
          <w:bCs/>
        </w:rPr>
      </w:pPr>
      <w:r w:rsidRPr="00015812">
        <w:rPr>
          <w:b/>
          <w:bCs/>
        </w:rPr>
        <w:t>Kryteria oceny poszczególnych narzędzi pomiaru</w:t>
      </w:r>
    </w:p>
    <w:p w:rsidR="00015812" w:rsidRPr="00015812" w:rsidRDefault="00015812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  <w:rPr>
          <w:b/>
          <w:u w:val="single"/>
        </w:rPr>
      </w:pPr>
      <w:r w:rsidRPr="00015812">
        <w:rPr>
          <w:b/>
          <w:u w:val="single"/>
        </w:rPr>
        <w:lastRenderedPageBreak/>
        <w:t>Sprawdziany i kartkówki</w:t>
      </w:r>
      <w:r w:rsidRPr="00015812">
        <w:rPr>
          <w:b/>
        </w:rPr>
        <w:t xml:space="preserve">. </w:t>
      </w:r>
      <w:r w:rsidRPr="00015812">
        <w:t>Zadania, zawarte w sprawdzianie lub kartkówce, będą punktowane. Zgromadzone przez ucznia punkty zostaną przeliczone na ocenę według zasad: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  <w:r w:rsidRPr="00015812">
        <w:tab/>
      </w:r>
      <w:r w:rsidRPr="00015812">
        <w:tab/>
        <w:t>niedostateczny</w:t>
      </w:r>
      <w:r w:rsidRPr="00015812">
        <w:tab/>
        <w:t>- poniżej 30%</w:t>
      </w:r>
      <w:r w:rsidRPr="00015812">
        <w:tab/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  <w:r w:rsidRPr="00015812">
        <w:tab/>
      </w:r>
      <w:r w:rsidRPr="00015812">
        <w:tab/>
        <w:t>dopuszczający</w:t>
      </w:r>
      <w:r w:rsidRPr="00015812">
        <w:tab/>
      </w:r>
      <w:r w:rsidRPr="00015812">
        <w:tab/>
        <w:t>- 30% - 49%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  <w:r w:rsidRPr="00015812">
        <w:tab/>
      </w:r>
      <w:r w:rsidRPr="00015812">
        <w:tab/>
        <w:t>dostateczny</w:t>
      </w:r>
      <w:r w:rsidRPr="00015812">
        <w:tab/>
      </w:r>
      <w:r w:rsidRPr="00015812">
        <w:tab/>
        <w:t>- 50% - 69%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  <w:r w:rsidRPr="00015812">
        <w:tab/>
      </w:r>
      <w:r w:rsidRPr="00015812">
        <w:tab/>
        <w:t>dobry</w:t>
      </w:r>
      <w:r w:rsidRPr="00015812">
        <w:tab/>
      </w:r>
      <w:r w:rsidRPr="00015812">
        <w:tab/>
      </w:r>
      <w:r w:rsidRPr="00015812">
        <w:tab/>
        <w:t>- 70% - 89%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  <w:r w:rsidRPr="00015812">
        <w:tab/>
      </w:r>
      <w:r w:rsidRPr="00015812">
        <w:tab/>
        <w:t>bardzo dobry</w:t>
      </w:r>
      <w:r w:rsidRPr="00015812">
        <w:tab/>
      </w:r>
      <w:r w:rsidRPr="00015812">
        <w:tab/>
        <w:t>- 90% - 99%</w:t>
      </w:r>
    </w:p>
    <w:p w:rsidR="00015812" w:rsidRPr="00015812" w:rsidRDefault="00015812" w:rsidP="00015812">
      <w:pPr>
        <w:spacing w:line="360" w:lineRule="auto"/>
        <w:ind w:left="3540" w:hanging="2130"/>
        <w:jc w:val="both"/>
      </w:pPr>
      <w:r w:rsidRPr="00015812">
        <w:t>celujący</w:t>
      </w:r>
      <w:r w:rsidRPr="00015812">
        <w:tab/>
        <w:t>- 100%</w:t>
      </w:r>
    </w:p>
    <w:p w:rsidR="00015812" w:rsidRPr="00015812" w:rsidRDefault="00015812" w:rsidP="00015812">
      <w:pPr>
        <w:spacing w:line="360" w:lineRule="auto"/>
        <w:jc w:val="both"/>
      </w:pPr>
    </w:p>
    <w:p w:rsidR="00015812" w:rsidRPr="00015812" w:rsidRDefault="00015812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015812">
        <w:rPr>
          <w:b/>
          <w:u w:val="single"/>
        </w:rPr>
        <w:t>Odpowiedź ustna</w:t>
      </w:r>
      <w:r w:rsidRPr="00015812">
        <w:t xml:space="preserve"> obejmuje treści z ostatnich trzech lekcji (z wyjątkiem zapowiedzianych powtórzeń). Na ocenę ma wpływ:</w:t>
      </w:r>
    </w:p>
    <w:p w:rsidR="00015812" w:rsidRPr="00015812" w:rsidRDefault="00015812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15812">
        <w:t>stopień trudności zgodnie z kryteriami wymagań;</w:t>
      </w:r>
    </w:p>
    <w:p w:rsidR="00015812" w:rsidRPr="00015812" w:rsidRDefault="00015812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15812">
        <w:t>zawartość rzeczowa wypowiedzi;</w:t>
      </w:r>
    </w:p>
    <w:p w:rsidR="00015812" w:rsidRPr="00015812" w:rsidRDefault="00015812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15812">
        <w:t>swoboda operowania posiadaną wiedzą;</w:t>
      </w:r>
    </w:p>
    <w:p w:rsidR="00015812" w:rsidRPr="00015812" w:rsidRDefault="00015812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15812">
        <w:t>argumentacja;</w:t>
      </w:r>
    </w:p>
    <w:p w:rsidR="00015812" w:rsidRPr="00015812" w:rsidRDefault="00015812">
      <w:pPr>
        <w:numPr>
          <w:ilvl w:val="0"/>
          <w:numId w:val="7"/>
        </w:numPr>
        <w:tabs>
          <w:tab w:val="left" w:pos="360"/>
          <w:tab w:val="left" w:pos="1080"/>
        </w:tabs>
        <w:spacing w:line="360" w:lineRule="auto"/>
        <w:ind w:firstLine="436"/>
        <w:jc w:val="both"/>
      </w:pPr>
      <w:r w:rsidRPr="00015812">
        <w:t>stosowanie języka przedmiotu.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jc w:val="both"/>
      </w:pPr>
    </w:p>
    <w:p w:rsidR="00015812" w:rsidRPr="00015812" w:rsidRDefault="00015812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015812">
        <w:rPr>
          <w:b/>
          <w:u w:val="single"/>
        </w:rPr>
        <w:t>Prace dodatkowe</w:t>
      </w:r>
      <w:r w:rsidRPr="00015812">
        <w:t xml:space="preserve"> są dobrowolne. Obejmują zadania dla zainteresowanych uczniów, prace projektowe, które wykonane są indywidualnie lub zespołowo. Uczniowie prezentują je na zajęciach lekcyjnych. Mogą być oceniane „+” lub oceną (w zależności od stopnia trudności, formy prezentacji). 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720"/>
        <w:jc w:val="both"/>
      </w:pPr>
    </w:p>
    <w:p w:rsidR="00015812" w:rsidRPr="00015812" w:rsidRDefault="00015812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015812">
        <w:rPr>
          <w:b/>
          <w:u w:val="single"/>
        </w:rPr>
        <w:t>Aktywność ucznia w czasie lekcji</w:t>
      </w:r>
      <w:r w:rsidRPr="00015812">
        <w:t xml:space="preserve"> może być oceniana znakiem „+” lub oceną. W ocenie aktywności będą brane pod uwagę:</w:t>
      </w:r>
    </w:p>
    <w:p w:rsidR="00015812" w:rsidRPr="00015812" w:rsidRDefault="00015812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15812">
        <w:t>udzielanie prawidłowych odpowiedzi;</w:t>
      </w:r>
    </w:p>
    <w:p w:rsidR="00015812" w:rsidRPr="00015812" w:rsidRDefault="00015812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15812">
        <w:t>zgłaszanie pomysłów na rozwiązanie problemu;</w:t>
      </w:r>
    </w:p>
    <w:p w:rsidR="00015812" w:rsidRDefault="00015812">
      <w:pPr>
        <w:numPr>
          <w:ilvl w:val="1"/>
          <w:numId w:val="6"/>
        </w:numPr>
        <w:tabs>
          <w:tab w:val="left" w:pos="360"/>
        </w:tabs>
        <w:spacing w:line="360" w:lineRule="auto"/>
        <w:jc w:val="both"/>
      </w:pPr>
      <w:r w:rsidRPr="00015812">
        <w:t>przeprowadzenie obserwacji lub doświadczenia.</w:t>
      </w:r>
    </w:p>
    <w:p w:rsidR="00810000" w:rsidRPr="00015812" w:rsidRDefault="00810000" w:rsidP="00810000">
      <w:pPr>
        <w:tabs>
          <w:tab w:val="left" w:pos="360"/>
        </w:tabs>
        <w:spacing w:line="360" w:lineRule="auto"/>
        <w:ind w:left="1364"/>
        <w:jc w:val="both"/>
      </w:pPr>
    </w:p>
    <w:p w:rsidR="00015812" w:rsidRPr="00015812" w:rsidRDefault="00015812">
      <w:pPr>
        <w:numPr>
          <w:ilvl w:val="0"/>
          <w:numId w:val="6"/>
        </w:numPr>
        <w:tabs>
          <w:tab w:val="left" w:pos="360"/>
        </w:tabs>
        <w:spacing w:line="360" w:lineRule="auto"/>
        <w:jc w:val="both"/>
      </w:pPr>
      <w:r w:rsidRPr="00015812">
        <w:rPr>
          <w:b/>
          <w:u w:val="single"/>
        </w:rPr>
        <w:t>Praca w grupach</w:t>
      </w:r>
      <w:r w:rsidRPr="00015812">
        <w:t xml:space="preserve"> może być oceniana znakiem „+” lub oceną. Podczas pracy w grupach oceniane mogą być poszczególne jej elementy lub efekt końcowy. Elementy uwzględniane podczas pracy grupowej to:</w:t>
      </w:r>
    </w:p>
    <w:p w:rsidR="00015812" w:rsidRPr="00015812" w:rsidRDefault="00015812">
      <w:pPr>
        <w:numPr>
          <w:ilvl w:val="0"/>
          <w:numId w:val="8"/>
        </w:numPr>
        <w:spacing w:line="360" w:lineRule="auto"/>
        <w:ind w:firstLine="436"/>
      </w:pPr>
      <w:r w:rsidRPr="00015812">
        <w:t>podział pracy;</w:t>
      </w:r>
    </w:p>
    <w:p w:rsidR="00015812" w:rsidRPr="00015812" w:rsidRDefault="00015812">
      <w:pPr>
        <w:numPr>
          <w:ilvl w:val="0"/>
          <w:numId w:val="8"/>
        </w:numPr>
        <w:spacing w:line="360" w:lineRule="auto"/>
        <w:ind w:firstLine="436"/>
      </w:pPr>
      <w:r w:rsidRPr="00015812">
        <w:t>efektywność pracy;</w:t>
      </w:r>
    </w:p>
    <w:p w:rsidR="00015812" w:rsidRPr="00015812" w:rsidRDefault="00015812">
      <w:pPr>
        <w:numPr>
          <w:ilvl w:val="0"/>
          <w:numId w:val="8"/>
        </w:numPr>
        <w:spacing w:line="360" w:lineRule="auto"/>
        <w:ind w:firstLine="436"/>
      </w:pPr>
      <w:r w:rsidRPr="00015812">
        <w:t>wkład poszczególnych członków zespołu w pracę;</w:t>
      </w:r>
    </w:p>
    <w:p w:rsidR="00015812" w:rsidRPr="00015812" w:rsidRDefault="00015812">
      <w:pPr>
        <w:numPr>
          <w:ilvl w:val="0"/>
          <w:numId w:val="8"/>
        </w:numPr>
        <w:spacing w:line="360" w:lineRule="auto"/>
        <w:ind w:firstLine="436"/>
      </w:pPr>
      <w:r w:rsidRPr="00015812">
        <w:lastRenderedPageBreak/>
        <w:t>zgodność z tematem;</w:t>
      </w:r>
    </w:p>
    <w:p w:rsidR="00015812" w:rsidRPr="00015812" w:rsidRDefault="00015812">
      <w:pPr>
        <w:numPr>
          <w:ilvl w:val="0"/>
          <w:numId w:val="8"/>
        </w:numPr>
        <w:spacing w:line="360" w:lineRule="auto"/>
        <w:ind w:firstLine="436"/>
      </w:pPr>
      <w:r w:rsidRPr="00015812">
        <w:t>sposób prezentacji.</w:t>
      </w:r>
    </w:p>
    <w:p w:rsidR="00015812" w:rsidRPr="00015812" w:rsidRDefault="00015812" w:rsidP="00015812">
      <w:pPr>
        <w:tabs>
          <w:tab w:val="left" w:pos="720"/>
        </w:tabs>
        <w:spacing w:line="360" w:lineRule="auto"/>
        <w:ind w:left="720"/>
        <w:jc w:val="both"/>
      </w:pPr>
      <w:r w:rsidRPr="00015812">
        <w:t>Nauczyciel decyduje o sposobie oceny, może ocenić pracę wszystkich grup, jednej, kilku wybranych lub tylko liderów (prezenterów). W ocenie może uwzględnić samoocenę uczniów.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jc w:val="both"/>
      </w:pPr>
    </w:p>
    <w:p w:rsidR="00015812" w:rsidRPr="00015812" w:rsidRDefault="00015812">
      <w:pPr>
        <w:pStyle w:val="Akapitzlist"/>
        <w:numPr>
          <w:ilvl w:val="0"/>
          <w:numId w:val="3"/>
        </w:numPr>
        <w:tabs>
          <w:tab w:val="num" w:pos="0"/>
          <w:tab w:val="left" w:pos="360"/>
        </w:tabs>
        <w:spacing w:line="360" w:lineRule="auto"/>
        <w:jc w:val="both"/>
        <w:rPr>
          <w:b/>
        </w:rPr>
      </w:pPr>
      <w:r w:rsidRPr="00015812">
        <w:rPr>
          <w:b/>
        </w:rPr>
        <w:t xml:space="preserve">Zasady oceniania podczas nauki zdalnej </w:t>
      </w:r>
    </w:p>
    <w:p w:rsidR="00810000" w:rsidRDefault="00810000" w:rsidP="00810000">
      <w:pPr>
        <w:pStyle w:val="paragraph"/>
        <w:spacing w:before="0" w:beforeAutospacing="0" w:after="240" w:afterAutospacing="0" w:line="360" w:lineRule="auto"/>
        <w:ind w:left="708"/>
        <w:jc w:val="both"/>
        <w:textAlignment w:val="baseline"/>
      </w:pPr>
      <w:r>
        <w:t>Zasady oceniania podczas nauki zdalnej są zgodne z ogólnymi kryteriami określonymi w Statucie Szkoły, z uwzględnieniem możliwości technicznych i psychofizycznych uczniów.</w:t>
      </w:r>
    </w:p>
    <w:p w:rsidR="00015812" w:rsidRPr="00015812" w:rsidRDefault="00015812">
      <w:pPr>
        <w:numPr>
          <w:ilvl w:val="0"/>
          <w:numId w:val="3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15812">
        <w:rPr>
          <w:b/>
        </w:rPr>
        <w:t>Ustalanie śródrocznych i rocznych ocen klasyfikacyjnych</w:t>
      </w:r>
    </w:p>
    <w:p w:rsidR="00015812" w:rsidRPr="00015812" w:rsidRDefault="00015812">
      <w:pPr>
        <w:numPr>
          <w:ilvl w:val="0"/>
          <w:numId w:val="9"/>
        </w:numPr>
        <w:tabs>
          <w:tab w:val="left" w:pos="360"/>
        </w:tabs>
        <w:spacing w:line="360" w:lineRule="auto"/>
        <w:jc w:val="both"/>
      </w:pPr>
      <w:r w:rsidRPr="00015812">
        <w:t>Śródroczną i roczną ocenę klasyfikacyjną wystawia się na podstawie uzyskanych przez ucznia ocen cząstkowych.</w:t>
      </w:r>
    </w:p>
    <w:p w:rsidR="00015812" w:rsidRPr="00015812" w:rsidRDefault="00015812">
      <w:pPr>
        <w:numPr>
          <w:ilvl w:val="0"/>
          <w:numId w:val="9"/>
        </w:numPr>
        <w:tabs>
          <w:tab w:val="left" w:pos="360"/>
        </w:tabs>
        <w:spacing w:line="360" w:lineRule="auto"/>
        <w:jc w:val="both"/>
      </w:pPr>
      <w:r w:rsidRPr="00015812">
        <w:t>Przy ustalaniu śródrocznej i rocznej oceny klasyfikacyjnej największą wagę mają oceny z prac pisemnych (sprawdzianów i kartkówek) i odpowiedzi ustnych. Uwzględniane są także formy pracy pozalekcyjnej: konkursy (szkolne, gminne, powiatowe, wojewódzkie, ogólnopolskie), praca w ramach kół zainteresowań, opieka nad hodowlami prowadzonymi w szkole. Pozostałe oceny mają mniejszy wpływ na ocenę końcową.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jc w:val="both"/>
      </w:pPr>
    </w:p>
    <w:p w:rsidR="00015812" w:rsidRPr="00015812" w:rsidRDefault="00015812">
      <w:pPr>
        <w:numPr>
          <w:ilvl w:val="0"/>
          <w:numId w:val="3"/>
        </w:numPr>
        <w:tabs>
          <w:tab w:val="num" w:pos="0"/>
          <w:tab w:val="left" w:pos="360"/>
        </w:tabs>
        <w:spacing w:line="360" w:lineRule="auto"/>
        <w:ind w:left="0" w:firstLine="0"/>
        <w:jc w:val="both"/>
        <w:rPr>
          <w:b/>
        </w:rPr>
      </w:pPr>
      <w:r w:rsidRPr="00015812">
        <w:rPr>
          <w:b/>
        </w:rPr>
        <w:t>Kontrakt między nauczycielem a uczniem</w:t>
      </w:r>
    </w:p>
    <w:p w:rsidR="00015812" w:rsidRP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15812">
        <w:t>Liczba i częstotliwość sprawdzianów, kartkówek, odpowiedzi jest zależna od realizowanego materiału oraz wyników danej klasy.</w:t>
      </w:r>
    </w:p>
    <w:p w:rsidR="00015812" w:rsidRP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15812">
        <w:t>Sprawdziany są obowiązkowe. Uczeń, który nie był obecny na sprawdzianie, powinien go napisać w ciągu dwóch tygodni po powrocie do szkoły (w terminie uzgodnionym z nauczycielem). Jeśli uczeń nie wywiąże się z tego obowiązku, nauczyciel ma prawo sprawdzić stopień opanowania przez niego materiału objętego sprawdzianem, w wybranym przez siebie terminie i formie.</w:t>
      </w:r>
    </w:p>
    <w:p w:rsidR="00015812" w:rsidRP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15812">
        <w:t>Sprawdziany są zapowiadane przez nauczyciela z co najmniej tygodniowym wyprzedzeniem, odnotowane w dzienniku lekcyjnym i podany jest z</w:t>
      </w:r>
      <w:r w:rsidR="00810000">
        <w:t>akres sprawdzanych wiadomości i </w:t>
      </w:r>
      <w:r w:rsidRPr="00015812">
        <w:t>umiejętności.</w:t>
      </w:r>
    </w:p>
    <w:p w:rsid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15812">
        <w:t>Sprawdzian powinien być sprawdzony i oddany w ciągu dwóch tygodni od jego napisania.</w:t>
      </w:r>
    </w:p>
    <w:p w:rsidR="00015812" w:rsidRDefault="00015812" w:rsidP="00810000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015812">
        <w:t xml:space="preserve">Prace pisemne ucznia przechowywane są u nauczyciela do końca roku szkolnego. </w:t>
      </w:r>
      <w:r w:rsidR="00810000" w:rsidRPr="00810000">
        <w:t>Każda sprawdzona i oceniona praca klasowa/kartkówka lub jej kopia może być zabrana przez ucznia do domu i oddana na kolejnej lekcji.</w:t>
      </w:r>
      <w:r w:rsidRPr="00015812">
        <w:t xml:space="preserve"> Rodzic może zapoznać się z pracą podczas konsultacji.</w:t>
      </w:r>
    </w:p>
    <w:p w:rsidR="00015812" w:rsidRPr="00015812" w:rsidRDefault="00015812" w:rsidP="00810000">
      <w:pPr>
        <w:numPr>
          <w:ilvl w:val="0"/>
          <w:numId w:val="10"/>
        </w:numPr>
        <w:tabs>
          <w:tab w:val="left" w:pos="360"/>
        </w:tabs>
        <w:spacing w:line="360" w:lineRule="auto"/>
        <w:jc w:val="both"/>
      </w:pPr>
      <w:r w:rsidRPr="00810000">
        <w:t xml:space="preserve">Poprawa sprawdzianu jest dobrowolna i musi się odbyć w ciągu dwóch tygodni od rozdania prac. W przypadku choroby lub zdarzeń losowych, termin może być przedłużony indywidualnie na </w:t>
      </w:r>
      <w:r w:rsidRPr="00810000">
        <w:lastRenderedPageBreak/>
        <w:t xml:space="preserve">prośbę ucznia lub rodzica. Ocena z poprawionej pracy pisemnej jest wpisana jako kolejna do dziennika (bez względu na to, czy jest wyższa, czy niższa od poprzednio uzyskanej). </w:t>
      </w:r>
      <w:r w:rsidR="00810000" w:rsidRPr="00810000">
        <w:t>Przy ustalaniu śródrocznej lub rocznej oceny klasyfikacyjnej nauczyciel bierze pod uwagę wyłącznie ocenę wyższą (korzystniejszą dla ucznia).</w:t>
      </w:r>
      <w:r w:rsidR="00810000">
        <w:t xml:space="preserve"> </w:t>
      </w:r>
      <w:r w:rsidRPr="00015812">
        <w:t xml:space="preserve">Uczeń pisze </w:t>
      </w:r>
      <w:r w:rsidR="00810000">
        <w:t>poprawę</w:t>
      </w:r>
      <w:r w:rsidRPr="00015812">
        <w:t xml:space="preserve"> ty</w:t>
      </w:r>
      <w:r w:rsidR="00810000">
        <w:t>lko raz (z wyjątkiem uczniów, u </w:t>
      </w:r>
      <w:r w:rsidRPr="00015812">
        <w:t>których potwierdzono dysfunkcje – mogą oni poprawiać pracę 2 razy).</w:t>
      </w:r>
    </w:p>
    <w:p w:rsidR="00015812" w:rsidRPr="00015812" w:rsidRDefault="00015812" w:rsidP="00810000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015812">
        <w:t xml:space="preserve">Kartkówka obejmuje materiał z trzech ostatnich lekcji, nie musi być zapowiedziana i nie podlega poprawie. </w:t>
      </w:r>
    </w:p>
    <w:p w:rsidR="00810000" w:rsidRDefault="00810000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E76BC3">
        <w:t>W przypadku stwierdzenia niesamodzielnej pracy ucznia podczas sprawdzianu (ściąganie, korzystanie z niedozwolonych materiałów lub urządzeń), nauczyciel unieważnia pracę ucznia. Skutkuje to wpisaniem uwagi do dziennika i ma wpływ na ocenę zachowania. Uczeń ma obowiązek przystąpić do ponownego sprawdzianu w terminie i formie wyznaczonej przez nauczyciela</w:t>
      </w:r>
      <w:r>
        <w:t>.</w:t>
      </w:r>
    </w:p>
    <w:p w:rsidR="00282991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015812">
        <w:t xml:space="preserve">Prace dodatkowe ucznia, aktywność na lekcji, praca w grupie może być ocenione stopniem lub „+”. Plusy są notowane przez nauczyciela. Uczeń otrzymuje ocenę bardzo dobrą, jeżeli uzyska pięć „plusów”. Negatywna aktywność ucznia może być oceniona za pomocą „–”. </w:t>
      </w:r>
    </w:p>
    <w:p w:rsidR="00282991" w:rsidRPr="00282991" w:rsidRDefault="00282991" w:rsidP="00282991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282991">
        <w:t>Minusy są notowane przez nauczyciela. Stanowią informację zwrotną dla ucznia i rodzica o braku zaangażowania w pracę na lekcji lub w grupie. Zgromadzenie trzech minusów skutkuje wpisaniem uwagi do dziennika i ma wpływ na ocenę zachowania.</w:t>
      </w:r>
    </w:p>
    <w:p w:rsidR="00015812" w:rsidRP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015812">
        <w:t xml:space="preserve">Uczeń ma prawo do zgłoszenia nieprzygotowania do zajęć bez podania przyczyny (nie dotyczy sprawdzianów i lekcji powtórzeniowych) – </w:t>
      </w:r>
      <w:r w:rsidR="006B6430">
        <w:t>1 raz w półroczu przy jednej lekcj</w:t>
      </w:r>
      <w:r w:rsidR="00282991">
        <w:t>i biologii w </w:t>
      </w:r>
      <w:r w:rsidR="006B6430">
        <w:t xml:space="preserve">tygodniu i </w:t>
      </w:r>
      <w:r w:rsidRPr="00015812">
        <w:t>2 razy w półroczu</w:t>
      </w:r>
      <w:r w:rsidR="006B6430">
        <w:t xml:space="preserve"> przy dwóch lekcjach biologii w tygodniu</w:t>
      </w:r>
      <w:r w:rsidRPr="00015812">
        <w:t>. Uczeń ma również prawo być nieprzygotowany do zajęć z powodu choroby trwającej ponad tydzień lub z przyczyn losowych.</w:t>
      </w:r>
    </w:p>
    <w:p w:rsidR="00015812" w:rsidRP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015812">
        <w:t>Uczeń zgłasza nieprzygotowanie na początku lekcji.</w:t>
      </w:r>
    </w:p>
    <w:p w:rsidR="00015812" w:rsidRDefault="00015812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015812">
        <w:t xml:space="preserve">Uczeń ma obowiązek uzupełnienia zaległości (notatki w zeszycie przedmiotowym, zadania - zeszycie ćwiczeń, opanowanie materiału). </w:t>
      </w:r>
    </w:p>
    <w:p w:rsidR="00282991" w:rsidRPr="00282991" w:rsidRDefault="00282991" w:rsidP="00282991">
      <w:pPr>
        <w:numPr>
          <w:ilvl w:val="0"/>
          <w:numId w:val="10"/>
        </w:numPr>
        <w:tabs>
          <w:tab w:val="left" w:pos="360"/>
        </w:tabs>
        <w:spacing w:line="360" w:lineRule="auto"/>
        <w:ind w:hanging="540"/>
        <w:jc w:val="both"/>
      </w:pPr>
      <w:r w:rsidRPr="00282991">
        <w:t>Powtarzające się przypadki nieprzygotowania ucznia do zajęć skutkują wpisaniem uwagi do dziennika i mają wpływ na ocenę zachowania.</w:t>
      </w:r>
    </w:p>
    <w:p w:rsidR="00015812" w:rsidRPr="00015812" w:rsidRDefault="00015812" w:rsidP="00015812">
      <w:pPr>
        <w:tabs>
          <w:tab w:val="left" w:pos="360"/>
        </w:tabs>
        <w:spacing w:line="360" w:lineRule="auto"/>
        <w:ind w:left="360"/>
        <w:jc w:val="both"/>
      </w:pPr>
    </w:p>
    <w:p w:rsidR="00015812" w:rsidRPr="004E3E8F" w:rsidRDefault="00015812">
      <w:pPr>
        <w:pStyle w:val="Akapitzlist"/>
        <w:numPr>
          <w:ilvl w:val="0"/>
          <w:numId w:val="3"/>
        </w:numPr>
        <w:spacing w:line="360" w:lineRule="auto"/>
        <w:rPr>
          <w:b/>
          <w:bCs/>
        </w:rPr>
      </w:pPr>
      <w:r w:rsidRPr="004E3E8F">
        <w:rPr>
          <w:b/>
          <w:bCs/>
        </w:rPr>
        <w:t>Dostosowanie wymagań edukacyjnych do potrzeb psychofizycznych</w:t>
      </w:r>
      <w:r w:rsidR="00282991">
        <w:rPr>
          <w:b/>
          <w:bCs/>
        </w:rPr>
        <w:t xml:space="preserve"> </w:t>
      </w:r>
      <w:r w:rsidRPr="004E3E8F">
        <w:rPr>
          <w:b/>
          <w:bCs/>
        </w:rPr>
        <w:t>i edukacyjnych uczniów</w:t>
      </w:r>
    </w:p>
    <w:p w:rsidR="00015812" w:rsidRPr="00015812" w:rsidRDefault="00015812" w:rsidP="00015812">
      <w:pPr>
        <w:tabs>
          <w:tab w:val="num" w:pos="0"/>
          <w:tab w:val="left" w:pos="360"/>
        </w:tabs>
        <w:spacing w:line="360" w:lineRule="auto"/>
        <w:jc w:val="both"/>
        <w:rPr>
          <w:b/>
        </w:rPr>
      </w:pPr>
      <w:r w:rsidRPr="00015812">
        <w:rPr>
          <w:b/>
        </w:rPr>
        <w:t>Kryteria oceny uczniów z orzeczeniem opinią poradni psychologiczno-pedagogicznej</w:t>
      </w:r>
    </w:p>
    <w:p w:rsidR="00015812" w:rsidRPr="00015812" w:rsidRDefault="00015812">
      <w:pPr>
        <w:numPr>
          <w:ilvl w:val="0"/>
          <w:numId w:val="11"/>
        </w:numPr>
        <w:tabs>
          <w:tab w:val="left" w:pos="360"/>
        </w:tabs>
        <w:spacing w:line="360" w:lineRule="auto"/>
        <w:jc w:val="both"/>
      </w:pPr>
      <w:r w:rsidRPr="00015812">
        <w:t>Ocena ucznia wymaga odniesienia do: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t>aktualnych możliwości ucznia, jak i jego ograniczeń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t>wkładu pracy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lastRenderedPageBreak/>
        <w:t>zaangażowania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t>motywacji do pracy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t>systematyczności</w:t>
      </w:r>
    </w:p>
    <w:p w:rsidR="00015812" w:rsidRPr="00015812" w:rsidRDefault="00015812">
      <w:pPr>
        <w:numPr>
          <w:ilvl w:val="1"/>
          <w:numId w:val="11"/>
        </w:numPr>
        <w:tabs>
          <w:tab w:val="clear" w:pos="1137"/>
          <w:tab w:val="num" w:pos="720"/>
          <w:tab w:val="left" w:pos="1080"/>
        </w:tabs>
        <w:autoSpaceDE w:val="0"/>
        <w:autoSpaceDN w:val="0"/>
        <w:adjustRightInd w:val="0"/>
        <w:spacing w:line="360" w:lineRule="auto"/>
        <w:ind w:left="720" w:firstLine="0"/>
        <w:jc w:val="both"/>
      </w:pPr>
      <w:r w:rsidRPr="00015812">
        <w:t>postępów w rozwoju na miarę indywidualnych możliwości.</w:t>
      </w:r>
    </w:p>
    <w:p w:rsidR="00015812" w:rsidRPr="00015812" w:rsidRDefault="00015812" w:rsidP="00015812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720"/>
        <w:jc w:val="both"/>
      </w:pPr>
    </w:p>
    <w:p w:rsidR="00015812" w:rsidRDefault="00015812">
      <w:pPr>
        <w:numPr>
          <w:ilvl w:val="0"/>
          <w:numId w:val="11"/>
        </w:numPr>
        <w:tabs>
          <w:tab w:val="left" w:pos="360"/>
        </w:tabs>
        <w:spacing w:line="360" w:lineRule="auto"/>
        <w:jc w:val="both"/>
      </w:pPr>
      <w:r w:rsidRPr="00015812">
        <w:t xml:space="preserve">Nauczyciel uwzględnia przy ocenianiu uczniów z orzeczeniami indywidualne wytyczne zapisane w poszczególnych opiniach. Stosuje się do wytycznych zawartych w </w:t>
      </w:r>
      <w:r w:rsidR="004E3E8F">
        <w:t> </w:t>
      </w:r>
      <w:r w:rsidRPr="00015812">
        <w:t>poniższej tabeli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6298"/>
        <w:gridCol w:w="1260"/>
      </w:tblGrid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Element diagnozy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Sposoby dostosowania</w:t>
            </w:r>
          </w:p>
          <w:p w:rsidR="00015812" w:rsidRPr="00077B3A" w:rsidRDefault="00015812" w:rsidP="003E5557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( formy, metody, wymagania, treści nauczania)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center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uwagi</w:t>
            </w: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dysleksja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mniejsze partie; oceniamy poprawność rozumowania, a nie tylko wynik końcowy; uprzedzamy ucznia kilka minut wcześniej, że będzie pytany; w miarę możliwości wydłużamy czas pracy ucznia; uwzględniamy błędy polegające na przekręcaniu nazwisk, nazw itp.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dysortografia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Częściej sprawdzamy ćwiczenia; wydłużamy czas pracy ucznia przeznaczony na wykonanie zadania.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dysgrafia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Uwzględniamy pisanie drukowanymi literami; w razie trudności z odczytaniem pracy dopytujemy ucznia ustnie z tej partii materiału; uwzględniamy niski poziom graficzny wykresów i rysunków.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dyskalkulia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Oceniamy tok rozumowania, a nie techniczną stronę liczenia i wynik końcowy; wydłużamy czas na rozwiązanie zadań; przy rozwiązywaniu zadań tekstowych udzielamy dodatkowych wskazówek; uwzględniamy trudności z myleniem znaków, symboli i przestawiania cyfr; dzielimy materiał na mniejsze partie; nie wyrywamy do natychmiastowej odpowiedzi.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deficyty uwagi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mniejsze partie; formułujemy jasne, krótkie polecenia; pozostawiamy czas na sprawdzenie pracy; eliminujemy zbędne bodźce z otoczenia.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lastRenderedPageBreak/>
              <w:t>inteligencja niższa niż przeciętna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Dzielimy materiał na niewielkie partie o mniejszym stopniu trudności; wydłużamy czas pracy ucznia; często odwołujemy się do konkretu, przykładu; podajemy polecenia w prostej formie.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inteligencja wyższa niż przeciętna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077B3A">
              <w:rPr>
                <w:rFonts w:cs="Times New Roman"/>
              </w:rPr>
              <w:t>Proponujemy udział w zajęciach koła przyrodniczego; zachęcamy ucznia do udziału w konkursach przedmiotowych, przedsięwzięciach szkolnych; proponujemy wykonanie zadania dodatkowego (doświadczenia, modelu, projektu itp.); uwzględniamy szybsze tempo pracy i proponujemy rozwiązanie dodatkowych ćwiczeń podczas lekcji.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  <w:tr w:rsidR="00015812" w:rsidRPr="00077B3A" w:rsidTr="003E5557">
        <w:tc>
          <w:tcPr>
            <w:tcW w:w="1728" w:type="dxa"/>
          </w:tcPr>
          <w:p w:rsidR="00015812" w:rsidRPr="00077B3A" w:rsidRDefault="00015812" w:rsidP="003E5557">
            <w:pPr>
              <w:pStyle w:val="Zawartotabeli"/>
              <w:spacing w:before="100" w:beforeAutospacing="1" w:after="100" w:afterAutospacing="1" w:line="360" w:lineRule="auto"/>
              <w:rPr>
                <w:rFonts w:cs="Times New Roman"/>
                <w:b/>
              </w:rPr>
            </w:pPr>
            <w:r w:rsidRPr="00077B3A">
              <w:rPr>
                <w:rFonts w:cs="Times New Roman"/>
                <w:b/>
              </w:rPr>
              <w:t>autyzm i zespół Aspergera</w:t>
            </w:r>
          </w:p>
        </w:tc>
        <w:tc>
          <w:tcPr>
            <w:tcW w:w="6298" w:type="dxa"/>
          </w:tcPr>
          <w:p w:rsidR="00015812" w:rsidRPr="00077B3A" w:rsidRDefault="00015812" w:rsidP="003E5557">
            <w:pPr>
              <w:spacing w:line="360" w:lineRule="auto"/>
              <w:jc w:val="both"/>
            </w:pPr>
            <w:r w:rsidRPr="00077B3A">
              <w:t>Podczas wypowiedzi słownych udzielamy wsparcia w postaci dodatkowych pytań, które umożliwiają sprawniejszą aktualizację posiadanej wiedzy; uwzględniamy fakt, że osoby z autyzmem mają poważne trudności z formułowaniem dłuższych wypowiedzi ustnych; wykorzystujemy formę testową sprawdzianów z użyciem materiałów i treści wizualnych, obrazkowych; wydłużamy czas na analizę i zrozumienie pytania lub polecenia, a także na właściwą reakcję (sformułowanie odpowiedzi, wykonanie czynności); zachęcamy ucznia, by w razie potrzeby prosił o powtórzenie, uproszczenie czy zapisanie polecenia, jeśli jest ono dla niego niezrozumiałe; wyznaczamy mniejszą ilość zadań do wykonania; wydłużamy czas sprawdzianów, jeżeli tempo pracy ucznia jest wolne; wykorzystujemy mocne strony ucznia (np. zainteresowania), w celu wzmocnienia motywacji do nauki, łączymy nowe zagadnienia z zainteresowaniami dziecka; pilnujemy, żeby niezbędne informacje (np. praca dodatkowa, termin sprawdzianu) uczeń zapisał w zeszycie przedmiotowym.</w:t>
            </w:r>
          </w:p>
        </w:tc>
        <w:tc>
          <w:tcPr>
            <w:tcW w:w="1260" w:type="dxa"/>
          </w:tcPr>
          <w:p w:rsidR="00015812" w:rsidRPr="00077B3A" w:rsidRDefault="00015812" w:rsidP="003E5557">
            <w:pPr>
              <w:spacing w:after="200" w:line="360" w:lineRule="auto"/>
              <w:jc w:val="center"/>
            </w:pPr>
          </w:p>
        </w:tc>
      </w:tr>
    </w:tbl>
    <w:p w:rsidR="00015812" w:rsidRDefault="00015812" w:rsidP="00015812">
      <w:pPr>
        <w:spacing w:line="360" w:lineRule="auto"/>
      </w:pPr>
    </w:p>
    <w:p w:rsidR="00AA3A21" w:rsidRDefault="00AA3A21" w:rsidP="00015812">
      <w:pPr>
        <w:spacing w:line="360" w:lineRule="auto"/>
      </w:pPr>
    </w:p>
    <w:p w:rsidR="008C47D6" w:rsidRDefault="008C47D6" w:rsidP="008C47D6">
      <w:pPr>
        <w:spacing w:line="360" w:lineRule="auto"/>
      </w:pPr>
    </w:p>
    <w:p w:rsidR="008C47D6" w:rsidRDefault="008C47D6" w:rsidP="008C47D6">
      <w:pPr>
        <w:spacing w:line="360" w:lineRule="auto"/>
        <w:jc w:val="both"/>
      </w:pPr>
      <w:r>
        <w:rPr>
          <w:shd w:val="clear" w:color="auto" w:fill="FFFFFF"/>
        </w:rPr>
        <w:lastRenderedPageBreak/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6B6430" w:rsidRDefault="006B6430">
      <w:pPr>
        <w:spacing w:after="160" w:line="259" w:lineRule="auto"/>
        <w:rPr>
          <w:b/>
          <w:bCs/>
        </w:rPr>
      </w:pPr>
    </w:p>
    <w:sectPr w:rsidR="006B6430" w:rsidSect="006E05BA">
      <w:pgSz w:w="11630" w:h="1560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DD3" w:rsidRDefault="00886DD3" w:rsidP="00B05AD1">
      <w:r>
        <w:separator/>
      </w:r>
    </w:p>
  </w:endnote>
  <w:endnote w:type="continuationSeparator" w:id="1">
    <w:p w:rsidR="00886DD3" w:rsidRDefault="00886DD3" w:rsidP="00B05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DD3" w:rsidRDefault="00886DD3" w:rsidP="00B05AD1">
      <w:r>
        <w:separator/>
      </w:r>
    </w:p>
  </w:footnote>
  <w:footnote w:type="continuationSeparator" w:id="1">
    <w:p w:rsidR="00886DD3" w:rsidRDefault="00886DD3" w:rsidP="00B05A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-230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-2111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-1906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-1701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-1496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-1292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-1087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-882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-677" w:hanging="170"/>
      </w:pPr>
      <w:rPr>
        <w:rFonts w:hint="default"/>
        <w:lang w:val="en-US" w:eastAsia="en-US" w:bidi="en-US"/>
      </w:rPr>
    </w:lvl>
  </w:abstractNum>
  <w:abstractNum w:abstractNumId="4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">
    <w:nsid w:val="03270F4F"/>
    <w:multiLevelType w:val="hybridMultilevel"/>
    <w:tmpl w:val="6614AE80"/>
    <w:lvl w:ilvl="0" w:tplc="0B564F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261754">
      <w:start w:val="1"/>
      <w:numFmt w:val="bullet"/>
      <w:lvlText w:val=""/>
      <w:lvlJc w:val="left"/>
      <w:pPr>
        <w:tabs>
          <w:tab w:val="num" w:pos="1137"/>
        </w:tabs>
        <w:ind w:left="125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61809CB"/>
    <w:multiLevelType w:val="hybridMultilevel"/>
    <w:tmpl w:val="DC10100C"/>
    <w:lvl w:ilvl="0" w:tplc="A178EC24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61E59BB"/>
    <w:multiLevelType w:val="hybridMultilevel"/>
    <w:tmpl w:val="152CB19C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8A58ECB0">
      <w:start w:val="5"/>
      <w:numFmt w:val="bullet"/>
      <w:lvlText w:val=""/>
      <w:lvlJc w:val="left"/>
      <w:pPr>
        <w:ind w:left="1221" w:hanging="360"/>
      </w:pPr>
      <w:rPr>
        <w:rFonts w:ascii="Symbol" w:eastAsiaTheme="minorHAnsi" w:hAnsi="Symbol" w:cs="Times New Roman" w:hint="default"/>
      </w:rPr>
    </w:lvl>
    <w:lvl w:ilvl="2" w:tplc="4E629AC8">
      <w:start w:val="18"/>
      <w:numFmt w:val="bullet"/>
      <w:lvlText w:val="•"/>
      <w:lvlJc w:val="left"/>
      <w:pPr>
        <w:ind w:left="2121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8A133A2"/>
    <w:multiLevelType w:val="hybridMultilevel"/>
    <w:tmpl w:val="01542ED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A0D4896"/>
    <w:multiLevelType w:val="hybridMultilevel"/>
    <w:tmpl w:val="C79406B6"/>
    <w:lvl w:ilvl="0" w:tplc="573C32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178EC24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8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9">
    <w:nsid w:val="0FA30F1C"/>
    <w:multiLevelType w:val="hybridMultilevel"/>
    <w:tmpl w:val="A4B67AC0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34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5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7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8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9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43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5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6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8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9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16F270F4"/>
    <w:multiLevelType w:val="hybridMultilevel"/>
    <w:tmpl w:val="EE1A0C08"/>
    <w:lvl w:ilvl="0" w:tplc="C5A289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6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1C657646"/>
    <w:multiLevelType w:val="hybridMultilevel"/>
    <w:tmpl w:val="33BAE346"/>
    <w:lvl w:ilvl="0" w:tplc="F59624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5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3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5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25F4E56"/>
    <w:multiLevelType w:val="hybridMultilevel"/>
    <w:tmpl w:val="051EA0D4"/>
    <w:lvl w:ilvl="0" w:tplc="8A88F12A">
      <w:start w:val="5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7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9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2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93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4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99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2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6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2FD7792E"/>
    <w:multiLevelType w:val="hybridMultilevel"/>
    <w:tmpl w:val="6116056E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8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2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3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14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8">
    <w:nsid w:val="35C215AC"/>
    <w:multiLevelType w:val="hybridMultilevel"/>
    <w:tmpl w:val="A50E8872"/>
    <w:lvl w:ilvl="0" w:tplc="752A65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1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2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4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7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>
    <w:nsid w:val="3DB92A2B"/>
    <w:multiLevelType w:val="hybridMultilevel"/>
    <w:tmpl w:val="BE16F046"/>
    <w:lvl w:ilvl="0" w:tplc="A178EC24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39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46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8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1">
    <w:nsid w:val="428D512F"/>
    <w:multiLevelType w:val="hybridMultilevel"/>
    <w:tmpl w:val="95F691EA"/>
    <w:lvl w:ilvl="0" w:tplc="3BB89186">
      <w:start w:val="4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4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6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166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7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9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71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3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6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78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3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86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8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91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4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5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8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7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9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2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4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6B7A6B77"/>
    <w:multiLevelType w:val="hybridMultilevel"/>
    <w:tmpl w:val="AAA4C3A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501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6">
    <w:nsid w:val="6B8D50D8"/>
    <w:multiLevelType w:val="hybridMultilevel"/>
    <w:tmpl w:val="0CCE7E6A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7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9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0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1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3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4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6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8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31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9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1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2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3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6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8">
    <w:nsid w:val="751209AC"/>
    <w:multiLevelType w:val="hybridMultilevel"/>
    <w:tmpl w:val="047EBBB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9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5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53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4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5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6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7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8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9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6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3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4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5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6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67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107"/>
  </w:num>
  <w:num w:numId="2">
    <w:abstractNumId w:val="14"/>
  </w:num>
  <w:num w:numId="3">
    <w:abstractNumId w:val="215"/>
  </w:num>
  <w:num w:numId="4">
    <w:abstractNumId w:val="248"/>
  </w:num>
  <w:num w:numId="5">
    <w:abstractNumId w:val="52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78"/>
  </w:num>
  <w:num w:numId="13">
    <w:abstractNumId w:val="99"/>
  </w:num>
  <w:num w:numId="14">
    <w:abstractNumId w:val="35"/>
  </w:num>
  <w:num w:numId="15">
    <w:abstractNumId w:val="39"/>
  </w:num>
  <w:num w:numId="16">
    <w:abstractNumId w:val="110"/>
  </w:num>
  <w:num w:numId="17">
    <w:abstractNumId w:val="95"/>
  </w:num>
  <w:num w:numId="18">
    <w:abstractNumId w:val="185"/>
  </w:num>
  <w:num w:numId="19">
    <w:abstractNumId w:val="48"/>
  </w:num>
  <w:num w:numId="20">
    <w:abstractNumId w:val="257"/>
  </w:num>
  <w:num w:numId="21">
    <w:abstractNumId w:val="8"/>
  </w:num>
  <w:num w:numId="22">
    <w:abstractNumId w:val="157"/>
  </w:num>
  <w:num w:numId="23">
    <w:abstractNumId w:val="144"/>
  </w:num>
  <w:num w:numId="24">
    <w:abstractNumId w:val="239"/>
  </w:num>
  <w:num w:numId="25">
    <w:abstractNumId w:val="224"/>
  </w:num>
  <w:num w:numId="26">
    <w:abstractNumId w:val="156"/>
  </w:num>
  <w:num w:numId="27">
    <w:abstractNumId w:val="136"/>
  </w:num>
  <w:num w:numId="28">
    <w:abstractNumId w:val="40"/>
  </w:num>
  <w:num w:numId="29">
    <w:abstractNumId w:val="83"/>
  </w:num>
  <w:num w:numId="30">
    <w:abstractNumId w:val="207"/>
  </w:num>
  <w:num w:numId="31">
    <w:abstractNumId w:val="138"/>
  </w:num>
  <w:num w:numId="32">
    <w:abstractNumId w:val="129"/>
  </w:num>
  <w:num w:numId="33">
    <w:abstractNumId w:val="12"/>
  </w:num>
  <w:num w:numId="34">
    <w:abstractNumId w:val="160"/>
  </w:num>
  <w:num w:numId="35">
    <w:abstractNumId w:val="91"/>
  </w:num>
  <w:num w:numId="36">
    <w:abstractNumId w:val="261"/>
  </w:num>
  <w:num w:numId="37">
    <w:abstractNumId w:val="143"/>
  </w:num>
  <w:num w:numId="38">
    <w:abstractNumId w:val="23"/>
  </w:num>
  <w:num w:numId="39">
    <w:abstractNumId w:val="102"/>
  </w:num>
  <w:num w:numId="40">
    <w:abstractNumId w:val="3"/>
  </w:num>
  <w:num w:numId="41">
    <w:abstractNumId w:val="33"/>
  </w:num>
  <w:num w:numId="42">
    <w:abstractNumId w:val="252"/>
  </w:num>
  <w:num w:numId="43">
    <w:abstractNumId w:val="182"/>
  </w:num>
  <w:num w:numId="44">
    <w:abstractNumId w:val="11"/>
  </w:num>
  <w:num w:numId="45">
    <w:abstractNumId w:val="92"/>
  </w:num>
  <w:num w:numId="46">
    <w:abstractNumId w:val="37"/>
  </w:num>
  <w:num w:numId="47">
    <w:abstractNumId w:val="225"/>
  </w:num>
  <w:num w:numId="48">
    <w:abstractNumId w:val="36"/>
  </w:num>
  <w:num w:numId="49">
    <w:abstractNumId w:val="206"/>
  </w:num>
  <w:num w:numId="50">
    <w:abstractNumId w:val="123"/>
  </w:num>
  <w:num w:numId="51">
    <w:abstractNumId w:val="38"/>
  </w:num>
  <w:num w:numId="52">
    <w:abstractNumId w:val="111"/>
  </w:num>
  <w:num w:numId="53">
    <w:abstractNumId w:val="177"/>
  </w:num>
  <w:num w:numId="54">
    <w:abstractNumId w:val="139"/>
  </w:num>
  <w:num w:numId="55">
    <w:abstractNumId w:val="74"/>
  </w:num>
  <w:num w:numId="56">
    <w:abstractNumId w:val="150"/>
  </w:num>
  <w:num w:numId="57">
    <w:abstractNumId w:val="165"/>
  </w:num>
  <w:num w:numId="58">
    <w:abstractNumId w:val="98"/>
  </w:num>
  <w:num w:numId="59">
    <w:abstractNumId w:val="93"/>
  </w:num>
  <w:num w:numId="60">
    <w:abstractNumId w:val="200"/>
  </w:num>
  <w:num w:numId="61">
    <w:abstractNumId w:val="183"/>
  </w:num>
  <w:num w:numId="62">
    <w:abstractNumId w:val="158"/>
  </w:num>
  <w:num w:numId="63">
    <w:abstractNumId w:val="221"/>
  </w:num>
  <w:num w:numId="64">
    <w:abstractNumId w:val="5"/>
  </w:num>
  <w:num w:numId="65">
    <w:abstractNumId w:val="41"/>
  </w:num>
  <w:num w:numId="66">
    <w:abstractNumId w:val="204"/>
  </w:num>
  <w:num w:numId="67">
    <w:abstractNumId w:val="135"/>
  </w:num>
  <w:num w:numId="68">
    <w:abstractNumId w:val="82"/>
  </w:num>
  <w:num w:numId="69">
    <w:abstractNumId w:val="70"/>
  </w:num>
  <w:num w:numId="70">
    <w:abstractNumId w:val="122"/>
  </w:num>
  <w:num w:numId="71">
    <w:abstractNumId w:val="79"/>
  </w:num>
  <w:num w:numId="72">
    <w:abstractNumId w:val="214"/>
  </w:num>
  <w:num w:numId="73">
    <w:abstractNumId w:val="0"/>
  </w:num>
  <w:num w:numId="74">
    <w:abstractNumId w:val="85"/>
  </w:num>
  <w:num w:numId="75">
    <w:abstractNumId w:val="117"/>
  </w:num>
  <w:num w:numId="76">
    <w:abstractNumId w:val="108"/>
  </w:num>
  <w:num w:numId="77">
    <w:abstractNumId w:val="238"/>
  </w:num>
  <w:num w:numId="78">
    <w:abstractNumId w:val="189"/>
  </w:num>
  <w:num w:numId="79">
    <w:abstractNumId w:val="247"/>
  </w:num>
  <w:num w:numId="80">
    <w:abstractNumId w:val="186"/>
  </w:num>
  <w:num w:numId="81">
    <w:abstractNumId w:val="236"/>
  </w:num>
  <w:num w:numId="82">
    <w:abstractNumId w:val="100"/>
  </w:num>
  <w:num w:numId="83">
    <w:abstractNumId w:val="259"/>
  </w:num>
  <w:num w:numId="84">
    <w:abstractNumId w:val="267"/>
  </w:num>
  <w:num w:numId="85">
    <w:abstractNumId w:val="168"/>
  </w:num>
  <w:num w:numId="86">
    <w:abstractNumId w:val="191"/>
  </w:num>
  <w:num w:numId="87">
    <w:abstractNumId w:val="198"/>
  </w:num>
  <w:num w:numId="88">
    <w:abstractNumId w:val="28"/>
  </w:num>
  <w:num w:numId="89">
    <w:abstractNumId w:val="179"/>
  </w:num>
  <w:num w:numId="90">
    <w:abstractNumId w:val="31"/>
  </w:num>
  <w:num w:numId="91">
    <w:abstractNumId w:val="195"/>
  </w:num>
  <w:num w:numId="92">
    <w:abstractNumId w:val="59"/>
  </w:num>
  <w:num w:numId="93">
    <w:abstractNumId w:val="229"/>
  </w:num>
  <w:num w:numId="94">
    <w:abstractNumId w:val="232"/>
  </w:num>
  <w:num w:numId="95">
    <w:abstractNumId w:val="22"/>
  </w:num>
  <w:num w:numId="96">
    <w:abstractNumId w:val="258"/>
  </w:num>
  <w:num w:numId="97">
    <w:abstractNumId w:val="133"/>
  </w:num>
  <w:num w:numId="98">
    <w:abstractNumId w:val="201"/>
  </w:num>
  <w:num w:numId="99">
    <w:abstractNumId w:val="106"/>
  </w:num>
  <w:num w:numId="100">
    <w:abstractNumId w:val="148"/>
  </w:num>
  <w:num w:numId="101">
    <w:abstractNumId w:val="60"/>
  </w:num>
  <w:num w:numId="102">
    <w:abstractNumId w:val="50"/>
  </w:num>
  <w:num w:numId="103">
    <w:abstractNumId w:val="244"/>
  </w:num>
  <w:num w:numId="104">
    <w:abstractNumId w:val="30"/>
  </w:num>
  <w:num w:numId="105">
    <w:abstractNumId w:val="61"/>
  </w:num>
  <w:num w:numId="106">
    <w:abstractNumId w:val="68"/>
  </w:num>
  <w:num w:numId="107">
    <w:abstractNumId w:val="89"/>
  </w:num>
  <w:num w:numId="108">
    <w:abstractNumId w:val="226"/>
  </w:num>
  <w:num w:numId="109">
    <w:abstractNumId w:val="114"/>
  </w:num>
  <w:num w:numId="110">
    <w:abstractNumId w:val="188"/>
  </w:num>
  <w:num w:numId="111">
    <w:abstractNumId w:val="90"/>
  </w:num>
  <w:num w:numId="112">
    <w:abstractNumId w:val="97"/>
  </w:num>
  <w:num w:numId="113">
    <w:abstractNumId w:val="45"/>
  </w:num>
  <w:num w:numId="114">
    <w:abstractNumId w:val="223"/>
  </w:num>
  <w:num w:numId="115">
    <w:abstractNumId w:val="101"/>
  </w:num>
  <w:num w:numId="116">
    <w:abstractNumId w:val="155"/>
  </w:num>
  <w:num w:numId="117">
    <w:abstractNumId w:val="55"/>
  </w:num>
  <w:num w:numId="118">
    <w:abstractNumId w:val="49"/>
  </w:num>
  <w:num w:numId="119">
    <w:abstractNumId w:val="218"/>
  </w:num>
  <w:num w:numId="120">
    <w:abstractNumId w:val="197"/>
  </w:num>
  <w:num w:numId="121">
    <w:abstractNumId w:val="208"/>
  </w:num>
  <w:num w:numId="122">
    <w:abstractNumId w:val="181"/>
  </w:num>
  <w:num w:numId="123">
    <w:abstractNumId w:val="220"/>
  </w:num>
  <w:num w:numId="124">
    <w:abstractNumId w:val="211"/>
  </w:num>
  <w:num w:numId="125">
    <w:abstractNumId w:val="120"/>
  </w:num>
  <w:num w:numId="126">
    <w:abstractNumId w:val="141"/>
  </w:num>
  <w:num w:numId="127">
    <w:abstractNumId w:val="105"/>
  </w:num>
  <w:num w:numId="128">
    <w:abstractNumId w:val="194"/>
  </w:num>
  <w:num w:numId="129">
    <w:abstractNumId w:val="113"/>
  </w:num>
  <w:num w:numId="130">
    <w:abstractNumId w:val="227"/>
  </w:num>
  <w:num w:numId="131">
    <w:abstractNumId w:val="121"/>
  </w:num>
  <w:num w:numId="132">
    <w:abstractNumId w:val="126"/>
  </w:num>
  <w:num w:numId="133">
    <w:abstractNumId w:val="64"/>
  </w:num>
  <w:num w:numId="134">
    <w:abstractNumId w:val="249"/>
  </w:num>
  <w:num w:numId="135">
    <w:abstractNumId w:val="51"/>
  </w:num>
  <w:num w:numId="136">
    <w:abstractNumId w:val="112"/>
  </w:num>
  <w:num w:numId="137">
    <w:abstractNumId w:val="127"/>
  </w:num>
  <w:num w:numId="138">
    <w:abstractNumId w:val="72"/>
  </w:num>
  <w:num w:numId="139">
    <w:abstractNumId w:val="153"/>
  </w:num>
  <w:num w:numId="140">
    <w:abstractNumId w:val="166"/>
  </w:num>
  <w:num w:numId="141">
    <w:abstractNumId w:val="86"/>
  </w:num>
  <w:num w:numId="142">
    <w:abstractNumId w:val="219"/>
  </w:num>
  <w:num w:numId="143">
    <w:abstractNumId w:val="187"/>
  </w:num>
  <w:num w:numId="144">
    <w:abstractNumId w:val="193"/>
  </w:num>
  <w:num w:numId="145">
    <w:abstractNumId w:val="27"/>
  </w:num>
  <w:num w:numId="146">
    <w:abstractNumId w:val="130"/>
  </w:num>
  <w:num w:numId="147">
    <w:abstractNumId w:val="1"/>
  </w:num>
  <w:num w:numId="148">
    <w:abstractNumId w:val="170"/>
  </w:num>
  <w:num w:numId="149">
    <w:abstractNumId w:val="216"/>
  </w:num>
  <w:num w:numId="150">
    <w:abstractNumId w:val="29"/>
  </w:num>
  <w:num w:numId="151">
    <w:abstractNumId w:val="151"/>
  </w:num>
  <w:num w:numId="152">
    <w:abstractNumId w:val="78"/>
  </w:num>
  <w:num w:numId="153">
    <w:abstractNumId w:val="196"/>
  </w:num>
  <w:num w:numId="154">
    <w:abstractNumId w:val="240"/>
  </w:num>
  <w:num w:numId="155">
    <w:abstractNumId w:val="6"/>
  </w:num>
  <w:num w:numId="156">
    <w:abstractNumId w:val="199"/>
  </w:num>
  <w:num w:numId="157">
    <w:abstractNumId w:val="145"/>
  </w:num>
  <w:num w:numId="158">
    <w:abstractNumId w:val="192"/>
  </w:num>
  <w:num w:numId="159">
    <w:abstractNumId w:val="58"/>
  </w:num>
  <w:num w:numId="160">
    <w:abstractNumId w:val="154"/>
  </w:num>
  <w:num w:numId="161">
    <w:abstractNumId w:val="34"/>
  </w:num>
  <w:num w:numId="162">
    <w:abstractNumId w:val="77"/>
  </w:num>
  <w:num w:numId="163">
    <w:abstractNumId w:val="180"/>
  </w:num>
  <w:num w:numId="164">
    <w:abstractNumId w:val="32"/>
  </w:num>
  <w:num w:numId="165">
    <w:abstractNumId w:val="115"/>
  </w:num>
  <w:num w:numId="166">
    <w:abstractNumId w:val="184"/>
  </w:num>
  <w:num w:numId="167">
    <w:abstractNumId w:val="253"/>
  </w:num>
  <w:num w:numId="168">
    <w:abstractNumId w:val="163"/>
  </w:num>
  <w:num w:numId="169">
    <w:abstractNumId w:val="205"/>
  </w:num>
  <w:num w:numId="170">
    <w:abstractNumId w:val="242"/>
  </w:num>
  <w:num w:numId="171">
    <w:abstractNumId w:val="243"/>
  </w:num>
  <w:num w:numId="172">
    <w:abstractNumId w:val="172"/>
  </w:num>
  <w:num w:numId="173">
    <w:abstractNumId w:val="246"/>
  </w:num>
  <w:num w:numId="174">
    <w:abstractNumId w:val="46"/>
  </w:num>
  <w:num w:numId="175">
    <w:abstractNumId w:val="212"/>
  </w:num>
  <w:num w:numId="176">
    <w:abstractNumId w:val="75"/>
  </w:num>
  <w:num w:numId="177">
    <w:abstractNumId w:val="234"/>
  </w:num>
  <w:num w:numId="178">
    <w:abstractNumId w:val="57"/>
  </w:num>
  <w:num w:numId="179">
    <w:abstractNumId w:val="18"/>
  </w:num>
  <w:num w:numId="180">
    <w:abstractNumId w:val="20"/>
  </w:num>
  <w:num w:numId="181">
    <w:abstractNumId w:val="124"/>
  </w:num>
  <w:num w:numId="182">
    <w:abstractNumId w:val="96"/>
  </w:num>
  <w:num w:numId="183">
    <w:abstractNumId w:val="94"/>
  </w:num>
  <w:num w:numId="184">
    <w:abstractNumId w:val="125"/>
  </w:num>
  <w:num w:numId="185">
    <w:abstractNumId w:val="53"/>
  </w:num>
  <w:num w:numId="186">
    <w:abstractNumId w:val="255"/>
  </w:num>
  <w:num w:numId="187">
    <w:abstractNumId w:val="175"/>
  </w:num>
  <w:num w:numId="188">
    <w:abstractNumId w:val="71"/>
  </w:num>
  <w:num w:numId="189">
    <w:abstractNumId w:val="159"/>
  </w:num>
  <w:num w:numId="190">
    <w:abstractNumId w:val="54"/>
  </w:num>
  <w:num w:numId="191">
    <w:abstractNumId w:val="235"/>
  </w:num>
  <w:num w:numId="192">
    <w:abstractNumId w:val="164"/>
  </w:num>
  <w:num w:numId="193">
    <w:abstractNumId w:val="81"/>
  </w:num>
  <w:num w:numId="194">
    <w:abstractNumId w:val="25"/>
  </w:num>
  <w:num w:numId="195">
    <w:abstractNumId w:val="4"/>
  </w:num>
  <w:num w:numId="196">
    <w:abstractNumId w:val="167"/>
  </w:num>
  <w:num w:numId="197">
    <w:abstractNumId w:val="228"/>
  </w:num>
  <w:num w:numId="198">
    <w:abstractNumId w:val="87"/>
  </w:num>
  <w:num w:numId="199">
    <w:abstractNumId w:val="233"/>
  </w:num>
  <w:num w:numId="200">
    <w:abstractNumId w:val="84"/>
  </w:num>
  <w:num w:numId="201">
    <w:abstractNumId w:val="146"/>
  </w:num>
  <w:num w:numId="202">
    <w:abstractNumId w:val="43"/>
  </w:num>
  <w:num w:numId="203">
    <w:abstractNumId w:val="76"/>
  </w:num>
  <w:num w:numId="204">
    <w:abstractNumId w:val="2"/>
  </w:num>
  <w:num w:numId="205">
    <w:abstractNumId w:val="210"/>
  </w:num>
  <w:num w:numId="206">
    <w:abstractNumId w:val="174"/>
  </w:num>
  <w:num w:numId="207">
    <w:abstractNumId w:val="147"/>
  </w:num>
  <w:num w:numId="208">
    <w:abstractNumId w:val="56"/>
  </w:num>
  <w:num w:numId="209">
    <w:abstractNumId w:val="162"/>
  </w:num>
  <w:num w:numId="210">
    <w:abstractNumId w:val="73"/>
  </w:num>
  <w:num w:numId="211">
    <w:abstractNumId w:val="264"/>
  </w:num>
  <w:num w:numId="212">
    <w:abstractNumId w:val="67"/>
  </w:num>
  <w:num w:numId="213">
    <w:abstractNumId w:val="265"/>
  </w:num>
  <w:num w:numId="214">
    <w:abstractNumId w:val="63"/>
  </w:num>
  <w:num w:numId="215">
    <w:abstractNumId w:val="24"/>
  </w:num>
  <w:num w:numId="216">
    <w:abstractNumId w:val="7"/>
  </w:num>
  <w:num w:numId="217">
    <w:abstractNumId w:val="161"/>
  </w:num>
  <w:num w:numId="218">
    <w:abstractNumId w:val="109"/>
  </w:num>
  <w:num w:numId="219">
    <w:abstractNumId w:val="169"/>
  </w:num>
  <w:num w:numId="220">
    <w:abstractNumId w:val="262"/>
  </w:num>
  <w:num w:numId="221">
    <w:abstractNumId w:val="231"/>
  </w:num>
  <w:num w:numId="222">
    <w:abstractNumId w:val="26"/>
  </w:num>
  <w:num w:numId="223">
    <w:abstractNumId w:val="142"/>
  </w:num>
  <w:num w:numId="224">
    <w:abstractNumId w:val="15"/>
  </w:num>
  <w:num w:numId="225">
    <w:abstractNumId w:val="140"/>
  </w:num>
  <w:num w:numId="226">
    <w:abstractNumId w:val="241"/>
  </w:num>
  <w:num w:numId="227">
    <w:abstractNumId w:val="47"/>
  </w:num>
  <w:num w:numId="228">
    <w:abstractNumId w:val="80"/>
  </w:num>
  <w:num w:numId="229">
    <w:abstractNumId w:val="16"/>
  </w:num>
  <w:num w:numId="230">
    <w:abstractNumId w:val="176"/>
  </w:num>
  <w:num w:numId="231">
    <w:abstractNumId w:val="237"/>
  </w:num>
  <w:num w:numId="232">
    <w:abstractNumId w:val="213"/>
  </w:num>
  <w:num w:numId="233">
    <w:abstractNumId w:val="131"/>
  </w:num>
  <w:num w:numId="234">
    <w:abstractNumId w:val="128"/>
  </w:num>
  <w:num w:numId="235">
    <w:abstractNumId w:val="251"/>
  </w:num>
  <w:num w:numId="236">
    <w:abstractNumId w:val="134"/>
  </w:num>
  <w:num w:numId="237">
    <w:abstractNumId w:val="149"/>
  </w:num>
  <w:num w:numId="238">
    <w:abstractNumId w:val="132"/>
  </w:num>
  <w:num w:numId="239">
    <w:abstractNumId w:val="103"/>
  </w:num>
  <w:num w:numId="240">
    <w:abstractNumId w:val="173"/>
  </w:num>
  <w:num w:numId="241">
    <w:abstractNumId w:val="119"/>
  </w:num>
  <w:num w:numId="242">
    <w:abstractNumId w:val="202"/>
  </w:num>
  <w:num w:numId="243">
    <w:abstractNumId w:val="69"/>
  </w:num>
  <w:num w:numId="244">
    <w:abstractNumId w:val="116"/>
  </w:num>
  <w:num w:numId="245">
    <w:abstractNumId w:val="104"/>
  </w:num>
  <w:num w:numId="246">
    <w:abstractNumId w:val="44"/>
  </w:num>
  <w:num w:numId="247">
    <w:abstractNumId w:val="222"/>
  </w:num>
  <w:num w:numId="248">
    <w:abstractNumId w:val="171"/>
  </w:num>
  <w:num w:numId="249">
    <w:abstractNumId w:val="88"/>
  </w:num>
  <w:num w:numId="250">
    <w:abstractNumId w:val="203"/>
  </w:num>
  <w:num w:numId="251">
    <w:abstractNumId w:val="66"/>
  </w:num>
  <w:num w:numId="252">
    <w:abstractNumId w:val="256"/>
  </w:num>
  <w:num w:numId="253">
    <w:abstractNumId w:val="263"/>
  </w:num>
  <w:num w:numId="254">
    <w:abstractNumId w:val="209"/>
  </w:num>
  <w:num w:numId="255">
    <w:abstractNumId w:val="245"/>
  </w:num>
  <w:num w:numId="256">
    <w:abstractNumId w:val="152"/>
  </w:num>
  <w:num w:numId="257">
    <w:abstractNumId w:val="10"/>
  </w:num>
  <w:num w:numId="258">
    <w:abstractNumId w:val="266"/>
  </w:num>
  <w:num w:numId="259">
    <w:abstractNumId w:val="217"/>
  </w:num>
  <w:num w:numId="260">
    <w:abstractNumId w:val="190"/>
  </w:num>
  <w:num w:numId="261">
    <w:abstractNumId w:val="21"/>
  </w:num>
  <w:num w:numId="262">
    <w:abstractNumId w:val="254"/>
  </w:num>
  <w:num w:numId="263">
    <w:abstractNumId w:val="260"/>
  </w:num>
  <w:num w:numId="264">
    <w:abstractNumId w:val="65"/>
  </w:num>
  <w:num w:numId="265">
    <w:abstractNumId w:val="250"/>
  </w:num>
  <w:num w:numId="266">
    <w:abstractNumId w:val="230"/>
  </w:num>
  <w:num w:numId="267">
    <w:abstractNumId w:val="42"/>
  </w:num>
  <w:num w:numId="268">
    <w:abstractNumId w:val="17"/>
  </w:num>
  <w:numIdMacAtCleanup w:val="2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554A"/>
    <w:rsid w:val="00015812"/>
    <w:rsid w:val="00095CA0"/>
    <w:rsid w:val="000F6EC2"/>
    <w:rsid w:val="00156F95"/>
    <w:rsid w:val="00172934"/>
    <w:rsid w:val="001E12A9"/>
    <w:rsid w:val="00282991"/>
    <w:rsid w:val="002B6E80"/>
    <w:rsid w:val="00386E47"/>
    <w:rsid w:val="00445224"/>
    <w:rsid w:val="004E3E8F"/>
    <w:rsid w:val="005B4FFB"/>
    <w:rsid w:val="006B6430"/>
    <w:rsid w:val="006E05BA"/>
    <w:rsid w:val="006F07D7"/>
    <w:rsid w:val="007C41EB"/>
    <w:rsid w:val="00810000"/>
    <w:rsid w:val="00886DD3"/>
    <w:rsid w:val="008C340D"/>
    <w:rsid w:val="008C47D6"/>
    <w:rsid w:val="0090103C"/>
    <w:rsid w:val="0090554A"/>
    <w:rsid w:val="0098506A"/>
    <w:rsid w:val="00AA3A21"/>
    <w:rsid w:val="00AC0847"/>
    <w:rsid w:val="00B05AD1"/>
    <w:rsid w:val="00B508C0"/>
    <w:rsid w:val="00C1472E"/>
    <w:rsid w:val="00DD4191"/>
    <w:rsid w:val="00DF2953"/>
    <w:rsid w:val="00E965AE"/>
    <w:rsid w:val="00EE6A25"/>
    <w:rsid w:val="00FE7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5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5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55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5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55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55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55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55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55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55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55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55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55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55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55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55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55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55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55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5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5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5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5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55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9055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55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55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55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554A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90554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0554A"/>
    <w:rPr>
      <w:rFonts w:ascii="Calibri" w:eastAsia="Calibri" w:hAnsi="Calibri" w:cs="Times New Roman"/>
      <w:kern w:val="0"/>
    </w:rPr>
  </w:style>
  <w:style w:type="paragraph" w:customStyle="1" w:styleId="Zawartotabeli">
    <w:name w:val="Zawartość tabeli"/>
    <w:basedOn w:val="Normalny"/>
    <w:rsid w:val="00015812"/>
    <w:pPr>
      <w:widowControl w:val="0"/>
      <w:suppressLineNumbers/>
      <w:suppressAutoHyphens/>
    </w:pPr>
    <w:rPr>
      <w:rFonts w:eastAsia="Lucida Sans Unicode" w:cs="Tahoma"/>
      <w:kern w:val="1"/>
    </w:rPr>
  </w:style>
  <w:style w:type="character" w:customStyle="1" w:styleId="ui-provider">
    <w:name w:val="ui-provider"/>
    <w:basedOn w:val="Domylnaczcionkaakapitu"/>
    <w:rsid w:val="00AA3A21"/>
  </w:style>
  <w:style w:type="table" w:customStyle="1" w:styleId="TableNormal">
    <w:name w:val="Table Normal"/>
    <w:uiPriority w:val="2"/>
    <w:semiHidden/>
    <w:unhideWhenUsed/>
    <w:qFormat/>
    <w:rsid w:val="00AA3A21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A3A21"/>
    <w:pPr>
      <w:widowControl w:val="0"/>
      <w:autoSpaceDE w:val="0"/>
      <w:autoSpaceDN w:val="0"/>
    </w:pPr>
    <w:rPr>
      <w:rFonts w:ascii="Swis721BlkCnEU-Italic" w:eastAsia="Swis721BlkCnEU-Italic" w:hAnsi="Swis721BlkCnEU-Italic" w:cs="Swis721BlkCnEU-Italic"/>
      <w:i/>
      <w:sz w:val="15"/>
      <w:szCs w:val="15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3A21"/>
    <w:rPr>
      <w:rFonts w:ascii="Swis721BlkCnEU-Italic" w:eastAsia="Swis721BlkCnEU-Italic" w:hAnsi="Swis721BlkCnEU-Italic" w:cs="Swis721BlkCnEU-Italic"/>
      <w:i/>
      <w:kern w:val="0"/>
      <w:sz w:val="15"/>
      <w:szCs w:val="15"/>
    </w:rPr>
  </w:style>
  <w:style w:type="paragraph" w:customStyle="1" w:styleId="TableParagraph">
    <w:name w:val="Table Paragraph"/>
    <w:basedOn w:val="Normalny"/>
    <w:uiPriority w:val="1"/>
    <w:qFormat/>
    <w:rsid w:val="00AA3A21"/>
    <w:pPr>
      <w:widowControl w:val="0"/>
      <w:autoSpaceDE w:val="0"/>
      <w:autoSpaceDN w:val="0"/>
      <w:ind w:left="221" w:hanging="170"/>
    </w:pPr>
    <w:rPr>
      <w:rFonts w:ascii="Humanst521EU-Normal" w:eastAsia="Humanst521EU-Normal" w:hAnsi="Humanst521EU-Normal" w:cs="Humanst521EU-Normal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A3A2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A3A21"/>
  </w:style>
  <w:style w:type="table" w:styleId="Tabela-Siatka">
    <w:name w:val="Table Grid"/>
    <w:basedOn w:val="Standardowy"/>
    <w:uiPriority w:val="39"/>
    <w:rsid w:val="00AA3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AA3A21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eastAsia="en-US"/>
    </w:rPr>
  </w:style>
  <w:style w:type="paragraph" w:customStyle="1" w:styleId="Pa21">
    <w:name w:val="Pa21"/>
    <w:basedOn w:val="Normalny"/>
    <w:next w:val="Normalny"/>
    <w:uiPriority w:val="99"/>
    <w:rsid w:val="00AA3A21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eastAsia="en-US"/>
    </w:rPr>
  </w:style>
  <w:style w:type="paragraph" w:customStyle="1" w:styleId="Default">
    <w:name w:val="Default"/>
    <w:rsid w:val="00AA3A21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A21"/>
    <w:pPr>
      <w:widowControl w:val="0"/>
      <w:autoSpaceDE w:val="0"/>
      <w:autoSpaceDN w:val="0"/>
    </w:pPr>
    <w:rPr>
      <w:rFonts w:ascii="Segoe UI" w:eastAsia="Humanst521EU-Normal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A21"/>
    <w:rPr>
      <w:rFonts w:ascii="Segoe UI" w:eastAsia="Humanst521EU-Normal" w:hAnsi="Segoe UI" w:cs="Segoe UI"/>
      <w:kern w:val="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3A21"/>
    <w:pPr>
      <w:widowControl w:val="0"/>
      <w:autoSpaceDE w:val="0"/>
      <w:autoSpaceDN w:val="0"/>
    </w:pPr>
    <w:rPr>
      <w:rFonts w:ascii="Humanst521EU-Normal" w:eastAsia="Humanst521EU-Normal" w:hAnsi="Humanst521EU-Normal" w:cs="Humanst521EU-Normal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3A21"/>
    <w:rPr>
      <w:rFonts w:ascii="Humanst521EU-Normal" w:eastAsia="Humanst521EU-Normal" w:hAnsi="Humanst521EU-Normal" w:cs="Humanst521EU-Normal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A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A21"/>
    <w:rPr>
      <w:rFonts w:ascii="Humanst521EU-Normal" w:eastAsia="Humanst521EU-Normal" w:hAnsi="Humanst521EU-Normal" w:cs="Humanst521EU-Normal"/>
      <w:b/>
      <w:bCs/>
      <w:kern w:val="0"/>
      <w:sz w:val="20"/>
      <w:szCs w:val="20"/>
    </w:rPr>
  </w:style>
  <w:style w:type="paragraph" w:customStyle="1" w:styleId="paragraph">
    <w:name w:val="paragraph"/>
    <w:basedOn w:val="Normalny"/>
    <w:rsid w:val="0081000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9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1497</Words>
  <Characters>8984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J</dc:creator>
  <cp:lastModifiedBy>EWGIBK</cp:lastModifiedBy>
  <cp:revision>6</cp:revision>
  <dcterms:created xsi:type="dcterms:W3CDTF">2026-09-03T10:32:00Z</dcterms:created>
  <dcterms:modified xsi:type="dcterms:W3CDTF">2026-09-11T10:43:00Z</dcterms:modified>
</cp:coreProperties>
</file>